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7A389" w14:textId="0EB9A8C4" w:rsidR="00E80B77" w:rsidRDefault="00417C80" w:rsidP="002C6B2A">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3238BE">
        <w:rPr>
          <w:rFonts w:ascii="Tahoma" w:hAnsi="Tahoma" w:cs="Tahoma"/>
          <w:b/>
          <w:bCs/>
          <w:sz w:val="20"/>
          <w:szCs w:val="20"/>
        </w:rPr>
        <w:t xml:space="preserve"> nr </w:t>
      </w:r>
      <w:r w:rsidR="00E24593" w:rsidRPr="00E24593">
        <w:rPr>
          <w:rFonts w:ascii="Tahoma" w:hAnsi="Tahoma" w:cs="Tahoma"/>
          <w:b/>
          <w:bCs/>
          <w:sz w:val="20"/>
          <w:szCs w:val="20"/>
        </w:rPr>
        <w:t>6-27/2024/53</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7CCF8FB5"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xml:space="preserve">, registrikoodiga 70004459, asukohaga Mõisa/3, Sagadi küla, Haljala vald, 45403 Lääne-Virumaa (edaspidi Tellija), keda esindab </w:t>
      </w:r>
      <w:r w:rsidR="00B52705" w:rsidRPr="00B52705">
        <w:rPr>
          <w:rFonts w:ascii="Tahoma" w:hAnsi="Tahoma" w:cs="Tahoma"/>
          <w:sz w:val="20"/>
          <w:szCs w:val="20"/>
        </w:rPr>
        <w:t>09.01.2007 määruse nr 4 „Riigimetsa Majandamise Keskuse põhimääruse“ alusel juhatuse esimees Mikk Marran</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3340F4DF" w14:textId="66BA8710" w:rsidR="00E70FEE" w:rsidRDefault="00987DC1" w:rsidP="002C6B2A">
      <w:pPr>
        <w:spacing w:after="0"/>
        <w:jc w:val="both"/>
        <w:rPr>
          <w:rFonts w:ascii="Tahoma" w:hAnsi="Tahoma" w:cs="Tahoma"/>
          <w:sz w:val="20"/>
          <w:szCs w:val="20"/>
        </w:rPr>
      </w:pPr>
      <w:proofErr w:type="spellStart"/>
      <w:r w:rsidRPr="00987DC1">
        <w:rPr>
          <w:rFonts w:ascii="Tahoma" w:hAnsi="Tahoma" w:cs="Tahoma"/>
          <w:b/>
          <w:bCs/>
          <w:sz w:val="20"/>
          <w:szCs w:val="20"/>
        </w:rPr>
        <w:t>Elke</w:t>
      </w:r>
      <w:proofErr w:type="spellEnd"/>
      <w:r w:rsidRPr="00987DC1">
        <w:rPr>
          <w:rFonts w:ascii="Tahoma" w:hAnsi="Tahoma" w:cs="Tahoma"/>
          <w:b/>
          <w:bCs/>
          <w:sz w:val="20"/>
          <w:szCs w:val="20"/>
        </w:rPr>
        <w:t xml:space="preserve"> Tallinn AS</w:t>
      </w:r>
      <w:r w:rsidR="00E70FEE" w:rsidRPr="00EF0C28">
        <w:rPr>
          <w:rFonts w:ascii="Tahoma" w:hAnsi="Tahoma" w:cs="Tahoma"/>
          <w:sz w:val="20"/>
          <w:szCs w:val="20"/>
        </w:rPr>
        <w:t xml:space="preserve">, registrikoodiga </w:t>
      </w:r>
      <w:r w:rsidRPr="00987DC1">
        <w:rPr>
          <w:rFonts w:ascii="Tahoma" w:hAnsi="Tahoma" w:cs="Tahoma"/>
          <w:sz w:val="20"/>
          <w:szCs w:val="20"/>
        </w:rPr>
        <w:t>10000805</w:t>
      </w:r>
      <w:r w:rsidR="00E70FEE" w:rsidRPr="00EF0C28">
        <w:rPr>
          <w:rFonts w:ascii="Tahoma" w:hAnsi="Tahoma" w:cs="Tahoma"/>
          <w:sz w:val="20"/>
          <w:szCs w:val="20"/>
        </w:rPr>
        <w:t xml:space="preserve">, asukohaga </w:t>
      </w:r>
      <w:r w:rsidR="00383813">
        <w:rPr>
          <w:rFonts w:ascii="Tahoma" w:hAnsi="Tahoma" w:cs="Tahoma"/>
          <w:sz w:val="20"/>
          <w:szCs w:val="20"/>
        </w:rPr>
        <w:t>Mustamäe tee 22, 10621 Tallinn</w:t>
      </w:r>
      <w:r w:rsidR="00E70FEE" w:rsidRPr="00EF0C28">
        <w:rPr>
          <w:rFonts w:ascii="Tahoma" w:hAnsi="Tahoma" w:cs="Tahoma"/>
          <w:sz w:val="20"/>
          <w:szCs w:val="20"/>
        </w:rPr>
        <w:t xml:space="preserve"> (edaspidi Täitja), keda esindab seaduse ja põhikirja alusel juhatuse liige </w:t>
      </w:r>
      <w:r w:rsidR="00B43D55">
        <w:rPr>
          <w:rFonts w:ascii="Tahoma" w:hAnsi="Tahoma" w:cs="Tahoma"/>
          <w:sz w:val="20"/>
          <w:szCs w:val="20"/>
        </w:rPr>
        <w:t xml:space="preserve">Raido </w:t>
      </w:r>
      <w:proofErr w:type="spellStart"/>
      <w:r w:rsidR="00B43D55">
        <w:rPr>
          <w:rFonts w:ascii="Tahoma" w:hAnsi="Tahoma" w:cs="Tahoma"/>
          <w:sz w:val="20"/>
          <w:szCs w:val="20"/>
        </w:rPr>
        <w:t>Rosenfeld</w:t>
      </w:r>
      <w:proofErr w:type="spellEnd"/>
      <w:r w:rsidR="00E70FEE" w:rsidRPr="00EF0C28">
        <w:rPr>
          <w:rFonts w:ascii="Tahoma" w:hAnsi="Tahoma" w:cs="Tahoma"/>
          <w:sz w:val="20"/>
          <w:szCs w:val="20"/>
        </w:rPr>
        <w:t>, 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00E70FEE" w:rsidRPr="00EF0C28">
        <w:rPr>
          <w:rFonts w:ascii="Tahoma" w:hAnsi="Tahoma" w:cs="Tahoma"/>
          <w:sz w:val="20"/>
          <w:szCs w:val="20"/>
        </w:rPr>
        <w:t xml:space="preserve">u (edaspidi </w:t>
      </w:r>
      <w:r w:rsidR="00B637FE">
        <w:rPr>
          <w:rFonts w:ascii="Tahoma" w:hAnsi="Tahoma" w:cs="Tahoma"/>
          <w:sz w:val="20"/>
          <w:szCs w:val="20"/>
        </w:rPr>
        <w:t>Leping</w:t>
      </w:r>
      <w:r w:rsidR="00E70FEE" w:rsidRPr="00EF0C28">
        <w:rPr>
          <w:rFonts w:ascii="Tahoma" w:hAnsi="Tahoma" w:cs="Tahoma"/>
          <w:sz w:val="20"/>
          <w:szCs w:val="20"/>
        </w:rPr>
        <w:t>) alljärgnevas:</w:t>
      </w:r>
      <w:r w:rsidR="00E70FEE"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79807F7B"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2024</w:t>
      </w:r>
      <w:r w:rsidRPr="00B572AB">
        <w:rPr>
          <w:rFonts w:ascii="Tahoma" w:hAnsi="Tahoma" w:cs="Tahoma"/>
          <w:sz w:val="20"/>
          <w:szCs w:val="20"/>
        </w:rPr>
        <w:t>“ (edaspidi nimetatud Riigihange, viitenumber</w:t>
      </w:r>
      <w:r>
        <w:rPr>
          <w:rFonts w:ascii="Tahoma" w:hAnsi="Tahoma" w:cs="Tahoma"/>
          <w:sz w:val="20"/>
          <w:szCs w:val="20"/>
        </w:rPr>
        <w:t xml:space="preserve"> </w:t>
      </w:r>
      <w:r w:rsidR="003E3E59" w:rsidRPr="003E3E59">
        <w:rPr>
          <w:rFonts w:ascii="Tahoma" w:hAnsi="Tahoma" w:cs="Tahoma"/>
          <w:sz w:val="20"/>
          <w:szCs w:val="20"/>
        </w:rPr>
        <w:t>280769</w:t>
      </w:r>
      <w:r>
        <w:rPr>
          <w:rFonts w:ascii="Tahoma" w:hAnsi="Tahoma" w:cs="Tahoma"/>
          <w:sz w:val="20"/>
          <w:szCs w:val="20"/>
        </w:rPr>
        <w:t>, DHS 1-47.30</w:t>
      </w:r>
      <w:r w:rsidR="003E3E59">
        <w:rPr>
          <w:rFonts w:ascii="Tahoma" w:hAnsi="Tahoma" w:cs="Tahoma"/>
          <w:sz w:val="20"/>
          <w:szCs w:val="20"/>
        </w:rPr>
        <w:t>64</w:t>
      </w:r>
      <w:r w:rsidRPr="00B572AB">
        <w:rPr>
          <w:rFonts w:ascii="Tahoma" w:hAnsi="Tahoma" w:cs="Tahoma"/>
          <w:sz w:val="20"/>
          <w:szCs w:val="20"/>
        </w:rPr>
        <w:t>) tulemusena</w:t>
      </w:r>
      <w:r w:rsidR="003A5EF8">
        <w:rPr>
          <w:rFonts w:ascii="Tahoma" w:hAnsi="Tahoma" w:cs="Tahoma"/>
          <w:sz w:val="20"/>
          <w:szCs w:val="20"/>
        </w:rPr>
        <w:t>.</w:t>
      </w:r>
    </w:p>
    <w:p w14:paraId="1C8E1F56" w14:textId="42B3AE76"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Pr>
          <w:rFonts w:ascii="Tahoma" w:hAnsi="Tahoma" w:cs="Tahoma"/>
          <w:sz w:val="20"/>
          <w:szCs w:val="20"/>
        </w:rPr>
        <w:t>sõidukite</w:t>
      </w:r>
      <w:r w:rsidR="00325BDA" w:rsidRPr="00B572AB">
        <w:rPr>
          <w:rFonts w:ascii="Tahoma" w:hAnsi="Tahoma" w:cs="Tahoma"/>
          <w:sz w:val="20"/>
          <w:szCs w:val="20"/>
        </w:rPr>
        <w:t xml:space="preserve"> ostmine (edaspidi Kaup)</w:t>
      </w:r>
      <w:r w:rsidR="003A5EF8">
        <w:rPr>
          <w:rFonts w:ascii="Tahoma" w:hAnsi="Tahoma" w:cs="Tahoma"/>
          <w:sz w:val="20"/>
          <w:szCs w:val="20"/>
        </w:rPr>
        <w:t xml:space="preserve"> hanke osas 1 </w:t>
      </w:r>
      <w:r w:rsidR="00325BDA" w:rsidRPr="00B572AB">
        <w:rPr>
          <w:rFonts w:ascii="Tahoma" w:hAnsi="Tahoma" w:cs="Tahoma"/>
          <w:sz w:val="20"/>
          <w:szCs w:val="20"/>
        </w:rPr>
        <w:t xml:space="preserve">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383813" w:rsidRDefault="00F65E03" w:rsidP="00F65E03">
      <w:pPr>
        <w:pStyle w:val="Loendilik"/>
        <w:numPr>
          <w:ilvl w:val="1"/>
          <w:numId w:val="2"/>
        </w:numPr>
        <w:spacing w:after="160" w:line="259" w:lineRule="auto"/>
        <w:ind w:left="567" w:hanging="567"/>
        <w:jc w:val="both"/>
        <w:rPr>
          <w:rFonts w:ascii="Tahoma" w:hAnsi="Tahoma" w:cs="Tahoma"/>
          <w:sz w:val="20"/>
          <w:szCs w:val="20"/>
        </w:rPr>
      </w:pPr>
      <w:r w:rsidRPr="00383813">
        <w:rPr>
          <w:rFonts w:ascii="Tahoma" w:hAnsi="Tahoma" w:cs="Tahoma"/>
          <w:sz w:val="20"/>
          <w:szCs w:val="20"/>
        </w:rPr>
        <w:t xml:space="preserve">Hankija ei ole </w:t>
      </w:r>
      <w:r w:rsidR="00964FC5" w:rsidRPr="00383813">
        <w:rPr>
          <w:rFonts w:ascii="Tahoma" w:hAnsi="Tahoma" w:cs="Tahoma"/>
          <w:sz w:val="20"/>
          <w:szCs w:val="20"/>
        </w:rPr>
        <w:t>L</w:t>
      </w:r>
      <w:r w:rsidRPr="00383813">
        <w:rPr>
          <w:rFonts w:ascii="Tahoma" w:hAnsi="Tahoma" w:cs="Tahoma"/>
          <w:sz w:val="20"/>
          <w:szCs w:val="20"/>
        </w:rPr>
        <w:t xml:space="preserve">epingu täitmisel seotud eeldatava mahuga, </w:t>
      </w:r>
      <w:r w:rsidR="00964FC5" w:rsidRPr="00383813">
        <w:rPr>
          <w:rFonts w:ascii="Tahoma" w:hAnsi="Tahoma" w:cs="Tahoma"/>
          <w:sz w:val="20"/>
          <w:szCs w:val="20"/>
        </w:rPr>
        <w:t>Kaupa</w:t>
      </w:r>
      <w:r w:rsidRPr="00383813">
        <w:rPr>
          <w:rFonts w:ascii="Tahoma" w:hAnsi="Tahoma" w:cs="Tahoma"/>
          <w:sz w:val="20"/>
          <w:szCs w:val="20"/>
        </w:rPr>
        <w:t xml:space="preserve"> tellitakse vastavalt reaalsele vajadusele ja olemasolevatele võimalustele. Hankijal on õigus vajadusel soetada täiendava</w:t>
      </w:r>
      <w:r w:rsidR="00964FC5" w:rsidRPr="00383813">
        <w:rPr>
          <w:rFonts w:ascii="Tahoma" w:hAnsi="Tahoma" w:cs="Tahoma"/>
          <w:sz w:val="20"/>
          <w:szCs w:val="20"/>
        </w:rPr>
        <w:t>lt</w:t>
      </w:r>
      <w:r w:rsidRPr="00383813">
        <w:rPr>
          <w:rFonts w:ascii="Tahoma" w:hAnsi="Tahoma" w:cs="Tahoma"/>
          <w:sz w:val="20"/>
          <w:szCs w:val="20"/>
        </w:rPr>
        <w:t xml:space="preserve"> </w:t>
      </w:r>
      <w:r w:rsidR="00964FC5" w:rsidRPr="00383813">
        <w:rPr>
          <w:rFonts w:ascii="Tahoma" w:hAnsi="Tahoma" w:cs="Tahoma"/>
          <w:sz w:val="20"/>
          <w:szCs w:val="20"/>
        </w:rPr>
        <w:t>Kaupa</w:t>
      </w:r>
      <w:r w:rsidRPr="00383813">
        <w:rPr>
          <w:rFonts w:ascii="Tahoma" w:hAnsi="Tahoma" w:cs="Tahoma"/>
          <w:sz w:val="20"/>
          <w:szCs w:val="20"/>
        </w:rPr>
        <w:t xml:space="preserve"> </w:t>
      </w:r>
      <w:r w:rsidR="00964FC5" w:rsidRPr="00383813">
        <w:rPr>
          <w:rFonts w:ascii="Tahoma" w:hAnsi="Tahoma" w:cs="Tahoma"/>
          <w:sz w:val="20"/>
          <w:szCs w:val="20"/>
        </w:rPr>
        <w:t>L</w:t>
      </w:r>
      <w:r w:rsidRPr="00383813">
        <w:rPr>
          <w:rFonts w:ascii="Tahoma" w:hAnsi="Tahoma" w:cs="Tahoma"/>
          <w:sz w:val="20"/>
          <w:szCs w:val="20"/>
        </w:rPr>
        <w:t>epingu perioodi jooksul.</w:t>
      </w:r>
    </w:p>
    <w:p w14:paraId="2F290117" w14:textId="3AFBFE09" w:rsidR="00964FC5" w:rsidRPr="00383813" w:rsidRDefault="00964FC5" w:rsidP="00F65E03">
      <w:pPr>
        <w:pStyle w:val="Loendilik"/>
        <w:numPr>
          <w:ilvl w:val="1"/>
          <w:numId w:val="2"/>
        </w:numPr>
        <w:spacing w:after="160" w:line="259" w:lineRule="auto"/>
        <w:ind w:left="567" w:hanging="567"/>
        <w:jc w:val="both"/>
        <w:rPr>
          <w:rFonts w:ascii="Tahoma" w:hAnsi="Tahoma" w:cs="Tahoma"/>
          <w:sz w:val="20"/>
          <w:szCs w:val="20"/>
        </w:rPr>
      </w:pPr>
      <w:r w:rsidRPr="00383813">
        <w:rPr>
          <w:rFonts w:ascii="Tahoma" w:hAnsi="Tahoma" w:cs="Tahoma"/>
          <w:sz w:val="20"/>
          <w:szCs w:val="20"/>
        </w:rPr>
        <w:t xml:space="preserve">Lepingu periood </w:t>
      </w:r>
      <w:r w:rsidR="00623604" w:rsidRPr="00383813">
        <w:rPr>
          <w:rFonts w:ascii="Tahoma" w:hAnsi="Tahoma" w:cs="Tahoma"/>
          <w:sz w:val="20"/>
          <w:szCs w:val="20"/>
        </w:rPr>
        <w:t xml:space="preserve">Kauba väljaostu osas </w:t>
      </w:r>
      <w:r w:rsidR="00392C00" w:rsidRPr="00383813">
        <w:rPr>
          <w:rFonts w:ascii="Tahoma" w:hAnsi="Tahoma" w:cs="Tahoma"/>
          <w:sz w:val="20"/>
          <w:szCs w:val="20"/>
        </w:rPr>
        <w:t>on 12 kuud ning</w:t>
      </w:r>
      <w:r w:rsidRPr="00383813">
        <w:rPr>
          <w:rFonts w:ascii="Tahoma" w:hAnsi="Tahoma" w:cs="Tahoma"/>
          <w:sz w:val="20"/>
          <w:szCs w:val="20"/>
        </w:rPr>
        <w:t xml:space="preserve"> </w:t>
      </w:r>
      <w:r w:rsidR="00DA557C" w:rsidRPr="00383813">
        <w:rPr>
          <w:rFonts w:ascii="Tahoma" w:hAnsi="Tahoma" w:cs="Tahoma"/>
          <w:sz w:val="20"/>
          <w:szCs w:val="20"/>
        </w:rPr>
        <w:t xml:space="preserve">Kauba garantii osas </w:t>
      </w:r>
      <w:r w:rsidRPr="00383813">
        <w:rPr>
          <w:rFonts w:ascii="Tahoma" w:hAnsi="Tahoma" w:cs="Tahoma"/>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2EF765DF" w14:textId="3B16E90E" w:rsidR="00700122" w:rsidRPr="00417C80" w:rsidRDefault="000A33F9" w:rsidP="00D018CC">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694604">
        <w:rPr>
          <w:rFonts w:ascii="Tahoma" w:hAnsi="Tahoma" w:cs="Tahoma"/>
          <w:sz w:val="20"/>
          <w:szCs w:val="20"/>
        </w:rPr>
        <w:t xml:space="preserve"> esmatellimusega</w:t>
      </w:r>
      <w:r w:rsidR="00700122" w:rsidRPr="00417C80">
        <w:rPr>
          <w:rFonts w:ascii="Tahoma" w:hAnsi="Tahoma" w:cs="Tahoma"/>
          <w:sz w:val="20"/>
          <w:szCs w:val="20"/>
        </w:rPr>
        <w:t xml:space="preserve"> </w:t>
      </w:r>
      <w:r w:rsidR="00694604">
        <w:rPr>
          <w:rFonts w:ascii="Tahoma" w:hAnsi="Tahoma" w:cs="Tahoma"/>
          <w:sz w:val="20"/>
          <w:szCs w:val="20"/>
        </w:rPr>
        <w:t xml:space="preserve">7 </w:t>
      </w:r>
      <w:r>
        <w:rPr>
          <w:rFonts w:ascii="Tahoma" w:hAnsi="Tahoma" w:cs="Tahoma"/>
          <w:sz w:val="20"/>
          <w:szCs w:val="20"/>
        </w:rPr>
        <w:t>sõidukit.</w:t>
      </w:r>
    </w:p>
    <w:p w14:paraId="640BE3A4" w14:textId="77777777" w:rsidR="00700122" w:rsidRPr="00417C80" w:rsidRDefault="00700122" w:rsidP="002C6B2A">
      <w:pPr>
        <w:pStyle w:val="Loendilik"/>
        <w:spacing w:after="0" w:line="240" w:lineRule="auto"/>
        <w:ind w:left="0"/>
        <w:contextualSpacing w:val="0"/>
        <w:jc w:val="both"/>
        <w:rPr>
          <w:rFonts w:ascii="Tahoma" w:hAnsi="Tahoma" w:cs="Tahoma"/>
          <w:b/>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5BB93796" w14:textId="6249C81F"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  </w:t>
      </w:r>
      <w:r w:rsidR="00694604" w:rsidRPr="00694604">
        <w:rPr>
          <w:rFonts w:ascii="Tahoma" w:hAnsi="Tahoma" w:cs="Tahoma"/>
          <w:sz w:val="20"/>
          <w:szCs w:val="20"/>
        </w:rPr>
        <w:t>43</w:t>
      </w:r>
      <w:r w:rsidR="00694604">
        <w:rPr>
          <w:rFonts w:ascii="Tahoma" w:hAnsi="Tahoma" w:cs="Tahoma"/>
          <w:sz w:val="20"/>
          <w:szCs w:val="20"/>
        </w:rPr>
        <w:t xml:space="preserve"> </w:t>
      </w:r>
      <w:r w:rsidR="00694604" w:rsidRPr="00694604">
        <w:rPr>
          <w:rFonts w:ascii="Tahoma" w:hAnsi="Tahoma" w:cs="Tahoma"/>
          <w:sz w:val="20"/>
          <w:szCs w:val="20"/>
        </w:rPr>
        <w:t>083,61</w:t>
      </w:r>
      <w:r w:rsidR="00694604">
        <w:rPr>
          <w:rFonts w:ascii="Tahoma" w:hAnsi="Tahoma" w:cs="Tahoma"/>
          <w:sz w:val="20"/>
          <w:szCs w:val="20"/>
        </w:rPr>
        <w:t xml:space="preserve"> eurot üks sõiduk</w:t>
      </w:r>
      <w:r w:rsidR="00694604">
        <w:rPr>
          <w:rStyle w:val="Kommentaariviide"/>
        </w:rPr>
        <w:t>.</w:t>
      </w:r>
    </w:p>
    <w:p w14:paraId="6B964D02" w14:textId="41ABE1D0"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Arve esitamiseks tuleb kasutada elektrooniliste arvete esitamiseks mõeldud raamatupidamistarkvara või raamatupidamistarkvara E-</w:t>
      </w:r>
      <w:proofErr w:type="spellStart"/>
      <w:r w:rsidRPr="00B91875">
        <w:rPr>
          <w:rFonts w:ascii="Tahoma" w:hAnsi="Tahoma" w:cs="Tahoma"/>
          <w:sz w:val="20"/>
          <w:szCs w:val="20"/>
        </w:rPr>
        <w:t>arveldaja</w:t>
      </w:r>
      <w:proofErr w:type="spellEnd"/>
      <w:r w:rsidRPr="00B91875">
        <w:rPr>
          <w:rFonts w:ascii="Tahoma" w:hAnsi="Tahoma" w:cs="Tahoma"/>
          <w:sz w:val="20"/>
          <w:szCs w:val="20"/>
        </w:rPr>
        <w:t xml:space="preserve">,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w:t>
      </w:r>
      <w:proofErr w:type="spellStart"/>
      <w:r w:rsidRPr="00B572AB">
        <w:rPr>
          <w:rFonts w:ascii="Tahoma" w:hAnsi="Tahoma" w:cs="Tahoma"/>
          <w:sz w:val="20"/>
          <w:szCs w:val="20"/>
        </w:rPr>
        <w:t>samaliigilistele</w:t>
      </w:r>
      <w:proofErr w:type="spellEnd"/>
      <w:r w:rsidRPr="00B572AB">
        <w:rPr>
          <w:rFonts w:ascii="Tahoma" w:hAnsi="Tahoma" w:cs="Tahoma"/>
          <w:sz w:val="20"/>
          <w:szCs w:val="20"/>
        </w:rPr>
        <w:t xml:space="preserv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proofErr w:type="spellStart"/>
      <w:r w:rsidRPr="00B572AB">
        <w:rPr>
          <w:rFonts w:ascii="Tahoma" w:hAnsi="Tahoma" w:cs="Tahoma"/>
          <w:sz w:val="20"/>
          <w:szCs w:val="20"/>
        </w:rPr>
        <w:t>kvaliteediliselt</w:t>
      </w:r>
      <w:proofErr w:type="spellEnd"/>
      <w:r w:rsidRPr="00B572AB">
        <w:rPr>
          <w:rFonts w:ascii="Tahoma" w:hAnsi="Tahoma" w:cs="Tahoma"/>
          <w:sz w:val="20"/>
          <w:szCs w:val="20"/>
        </w:rPr>
        <w:t xml:space="preserve">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03617C5F" w14:textId="7AE06D8D"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Tellijal on õigus taotleda Täitja esindaja </w:t>
      </w:r>
      <w:proofErr w:type="spellStart"/>
      <w:r w:rsidRPr="009D0574">
        <w:rPr>
          <w:rFonts w:ascii="Tahoma" w:hAnsi="Tahoma" w:cs="Tahoma"/>
          <w:sz w:val="20"/>
          <w:szCs w:val="20"/>
        </w:rPr>
        <w:t>kohalesaabumist</w:t>
      </w:r>
      <w:proofErr w:type="spellEnd"/>
      <w:r w:rsidRPr="009D0574">
        <w:rPr>
          <w:rFonts w:ascii="Tahoma" w:hAnsi="Tahoma" w:cs="Tahoma"/>
          <w:sz w:val="20"/>
          <w:szCs w:val="20"/>
        </w:rPr>
        <w:t xml:space="preserve"> </w:t>
      </w:r>
      <w:r w:rsidR="00B637FE">
        <w:rPr>
          <w:rFonts w:ascii="Tahoma" w:hAnsi="Tahoma" w:cs="Tahoma"/>
          <w:sz w:val="20"/>
          <w:szCs w:val="20"/>
        </w:rPr>
        <w:t>Leping</w:t>
      </w:r>
      <w:r w:rsidRPr="009D0574">
        <w:rPr>
          <w:rFonts w:ascii="Tahoma" w:hAnsi="Tahoma" w:cs="Tahoma"/>
          <w:sz w:val="20"/>
          <w:szCs w:val="20"/>
        </w:rPr>
        <w:t>u punktides 2.5. ja 2.6. näidatud juhtumitel (</w:t>
      </w:r>
      <w:proofErr w:type="spellStart"/>
      <w:r w:rsidRPr="009D0574">
        <w:rPr>
          <w:rFonts w:ascii="Tahoma" w:hAnsi="Tahoma" w:cs="Tahoma"/>
          <w:sz w:val="20"/>
          <w:szCs w:val="20"/>
        </w:rPr>
        <w:t>kohalekutsumisel</w:t>
      </w:r>
      <w:proofErr w:type="spellEnd"/>
      <w:r w:rsidRPr="009D0574">
        <w:rPr>
          <w:rFonts w:ascii="Tahoma" w:hAnsi="Tahoma" w:cs="Tahoma"/>
          <w:sz w:val="20"/>
          <w:szCs w:val="20"/>
        </w:rPr>
        <w:t xml:space="preserve"> peab olema näidatud soovitav esindaja </w:t>
      </w:r>
      <w:proofErr w:type="spellStart"/>
      <w:r w:rsidRPr="009D0574">
        <w:rPr>
          <w:rFonts w:ascii="Tahoma" w:hAnsi="Tahoma" w:cs="Tahoma"/>
          <w:sz w:val="20"/>
          <w:szCs w:val="20"/>
        </w:rPr>
        <w:t>kohalesaabumise</w:t>
      </w:r>
      <w:proofErr w:type="spellEnd"/>
      <w:r w:rsidRPr="009D0574">
        <w:rPr>
          <w:rFonts w:ascii="Tahoma" w:hAnsi="Tahoma" w:cs="Tahoma"/>
          <w:sz w:val="20"/>
          <w:szCs w:val="20"/>
        </w:rPr>
        <w:t xml:space="preserv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 </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1BFF19FC" w14:textId="719F2875" w:rsidR="00F46B8A" w:rsidRPr="00417C80" w:rsidRDefault="00F46B8A" w:rsidP="00F46B8A">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013693AD" w14:textId="77777777" w:rsidR="009274B7" w:rsidRPr="00417C80" w:rsidRDefault="009274B7" w:rsidP="002C6B2A">
      <w:pPr>
        <w:pStyle w:val="Loendilik"/>
        <w:spacing w:after="0" w:line="240" w:lineRule="auto"/>
        <w:ind w:left="0"/>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078AC6C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proofErr w:type="spellStart"/>
      <w:r w:rsidR="00643B2E" w:rsidRPr="00417C80">
        <w:rPr>
          <w:rFonts w:ascii="Tahoma" w:hAnsi="Tahoma" w:cs="Tahoma"/>
          <w:sz w:val="20"/>
          <w:szCs w:val="20"/>
        </w:rPr>
        <w:t>le</w:t>
      </w:r>
      <w:proofErr w:type="spellEnd"/>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kestusega </w:t>
      </w:r>
      <w:r w:rsidR="009A5288">
        <w:rPr>
          <w:rFonts w:ascii="Tahoma" w:hAnsi="Tahoma" w:cs="Tahoma"/>
          <w:sz w:val="20"/>
          <w:szCs w:val="20"/>
        </w:rPr>
        <w:t xml:space="preserve">5 aastat, läbisõidupiiranguga </w:t>
      </w:r>
      <w:r w:rsidR="003D125B">
        <w:rPr>
          <w:rFonts w:ascii="Tahoma" w:hAnsi="Tahoma" w:cs="Tahoma"/>
          <w:sz w:val="20"/>
          <w:szCs w:val="20"/>
        </w:rPr>
        <w:t>200 000</w:t>
      </w:r>
      <w:r w:rsidR="009A5288">
        <w:rPr>
          <w:rFonts w:ascii="Tahoma" w:hAnsi="Tahoma" w:cs="Tahoma"/>
          <w:sz w:val="20"/>
          <w:szCs w:val="20"/>
        </w:rPr>
        <w:t xml:space="preserve">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w:t>
      </w:r>
      <w:proofErr w:type="spellStart"/>
      <w:r w:rsidRPr="00B572AB">
        <w:rPr>
          <w:rFonts w:ascii="Tahoma" w:hAnsi="Tahoma" w:cs="Tahoma"/>
          <w:sz w:val="20"/>
          <w:szCs w:val="20"/>
        </w:rPr>
        <w:t>ülesütlemisõiguse</w:t>
      </w:r>
      <w:proofErr w:type="spellEnd"/>
      <w:r w:rsidRPr="00B572AB">
        <w:rPr>
          <w:rFonts w:ascii="Tahoma" w:hAnsi="Tahoma" w:cs="Tahoma"/>
          <w:sz w:val="20"/>
          <w:szCs w:val="20"/>
        </w:rPr>
        <w:t xml:space="preserv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ei tasu Täitja esitatud arvet õigeks ajaks, on Täitjal õigus nõuda viivist 0,15% (null koma </w:t>
      </w:r>
      <w:proofErr w:type="spellStart"/>
      <w:r w:rsidRPr="00B572AB">
        <w:rPr>
          <w:rFonts w:ascii="Tahoma" w:hAnsi="Tahoma" w:cs="Tahoma"/>
          <w:sz w:val="20"/>
          <w:szCs w:val="20"/>
        </w:rPr>
        <w:t>viisteist</w:t>
      </w:r>
      <w:proofErr w:type="spellEnd"/>
      <w:r w:rsidRPr="00B572AB">
        <w:rPr>
          <w:rFonts w:ascii="Tahoma" w:hAnsi="Tahoma" w:cs="Tahoma"/>
          <w:sz w:val="20"/>
          <w:szCs w:val="20"/>
        </w:rPr>
        <w:t xml:space="preserve">)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lastRenderedPageBreak/>
        <w:t xml:space="preserve">Garantii </w:t>
      </w:r>
    </w:p>
    <w:p w14:paraId="1C282F32" w14:textId="384728CE"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annab Kaubale garantii Lepingu Lisas </w:t>
      </w:r>
      <w:r w:rsidR="00392C00" w:rsidRPr="005D5204">
        <w:rPr>
          <w:rFonts w:ascii="Tahoma" w:hAnsi="Tahoma" w:cs="Tahoma"/>
          <w:sz w:val="20"/>
          <w:szCs w:val="20"/>
        </w:rPr>
        <w:t>1</w:t>
      </w:r>
      <w:r w:rsidRPr="005D5204">
        <w:rPr>
          <w:rFonts w:ascii="Tahoma" w:hAnsi="Tahoma" w:cs="Tahoma"/>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Vääramatu jõud (</w:t>
      </w:r>
      <w:proofErr w:type="spellStart"/>
      <w:r w:rsidRPr="00B572AB">
        <w:rPr>
          <w:rFonts w:ascii="Tahoma" w:hAnsi="Tahoma" w:cs="Tahoma"/>
          <w:b/>
          <w:bCs/>
          <w:sz w:val="20"/>
          <w:szCs w:val="20"/>
        </w:rPr>
        <w:t>force</w:t>
      </w:r>
      <w:proofErr w:type="spellEnd"/>
      <w:r w:rsidRPr="00B572AB">
        <w:rPr>
          <w:rFonts w:ascii="Tahoma" w:hAnsi="Tahoma" w:cs="Tahoma"/>
          <w:b/>
          <w:bCs/>
          <w:sz w:val="20"/>
          <w:szCs w:val="20"/>
        </w:rPr>
        <w:t xml:space="preserve"> </w:t>
      </w:r>
      <w:proofErr w:type="spellStart"/>
      <w:r w:rsidRPr="00B572AB">
        <w:rPr>
          <w:rFonts w:ascii="Tahoma" w:hAnsi="Tahoma" w:cs="Tahoma"/>
          <w:b/>
          <w:bCs/>
          <w:sz w:val="20"/>
          <w:szCs w:val="20"/>
        </w:rPr>
        <w:t>majeure</w:t>
      </w:r>
      <w:proofErr w:type="spellEnd"/>
      <w:r w:rsidRPr="00B572AB">
        <w:rPr>
          <w:rFonts w:ascii="Tahoma" w:hAnsi="Tahoma" w:cs="Tahoma"/>
          <w:b/>
          <w:bCs/>
          <w:sz w:val="20"/>
          <w:szCs w:val="20"/>
        </w:rPr>
        <w:t xml:space="preserv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341948DD"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72B99511" w14:textId="70E17F7D" w:rsidR="006C7CBC"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esindaja(d), kes omavad õigust ja kohustust jälgida </w:t>
      </w:r>
      <w:r w:rsidR="00B637FE">
        <w:rPr>
          <w:rFonts w:ascii="Tahoma" w:hAnsi="Tahoma" w:cs="Tahoma"/>
          <w:sz w:val="20"/>
          <w:szCs w:val="20"/>
        </w:rPr>
        <w:t>Leping</w:t>
      </w:r>
      <w:r w:rsidRPr="00B572AB">
        <w:rPr>
          <w:rFonts w:ascii="Tahoma" w:hAnsi="Tahoma" w:cs="Tahoma"/>
          <w:sz w:val="20"/>
          <w:szCs w:val="20"/>
        </w:rPr>
        <w:t xml:space="preserve">uga Tellija ja Täitja poolt võetud kohuste täitmist, on: </w:t>
      </w:r>
      <w:r w:rsidR="005D5204">
        <w:rPr>
          <w:rFonts w:ascii="Tahoma" w:hAnsi="Tahoma" w:cs="Tahoma"/>
          <w:sz w:val="20"/>
          <w:szCs w:val="20"/>
        </w:rPr>
        <w:t>Mihkel Merimaa</w:t>
      </w:r>
      <w:r w:rsidRPr="00B572AB">
        <w:rPr>
          <w:rFonts w:ascii="Tahoma" w:hAnsi="Tahoma" w:cs="Tahoma"/>
          <w:sz w:val="20"/>
          <w:szCs w:val="20"/>
        </w:rPr>
        <w:t xml:space="preserve">, tel </w:t>
      </w:r>
      <w:r w:rsidR="00B1626F">
        <w:rPr>
          <w:rFonts w:ascii="Tahoma" w:hAnsi="Tahoma" w:cs="Tahoma"/>
          <w:sz w:val="20"/>
          <w:szCs w:val="20"/>
        </w:rPr>
        <w:t>+372</w:t>
      </w:r>
      <w:r w:rsidR="003D125B">
        <w:rPr>
          <w:rFonts w:ascii="Tahoma" w:hAnsi="Tahoma" w:cs="Tahoma"/>
          <w:sz w:val="20"/>
          <w:szCs w:val="20"/>
        </w:rPr>
        <w:t> </w:t>
      </w:r>
      <w:r w:rsidR="00B1626F" w:rsidRPr="00B1626F">
        <w:rPr>
          <w:rFonts w:ascii="Tahoma" w:hAnsi="Tahoma" w:cs="Tahoma"/>
          <w:sz w:val="20"/>
          <w:szCs w:val="20"/>
        </w:rPr>
        <w:t>504</w:t>
      </w:r>
      <w:r w:rsidR="003D125B">
        <w:rPr>
          <w:rFonts w:ascii="Tahoma" w:hAnsi="Tahoma" w:cs="Tahoma"/>
          <w:sz w:val="20"/>
          <w:szCs w:val="20"/>
        </w:rPr>
        <w:t> </w:t>
      </w:r>
      <w:r w:rsidR="00B1626F" w:rsidRPr="00B1626F">
        <w:rPr>
          <w:rFonts w:ascii="Tahoma" w:hAnsi="Tahoma" w:cs="Tahoma"/>
          <w:sz w:val="20"/>
          <w:szCs w:val="20"/>
        </w:rPr>
        <w:t>4107</w:t>
      </w:r>
      <w:r w:rsidRPr="00B572AB">
        <w:rPr>
          <w:rFonts w:ascii="Tahoma" w:hAnsi="Tahoma" w:cs="Tahoma"/>
          <w:sz w:val="20"/>
          <w:szCs w:val="20"/>
        </w:rPr>
        <w:t>, e-post</w:t>
      </w:r>
      <w:r w:rsidR="0048326F">
        <w:rPr>
          <w:rFonts w:ascii="Tahoma" w:hAnsi="Tahoma" w:cs="Tahoma"/>
          <w:sz w:val="20"/>
          <w:szCs w:val="20"/>
        </w:rPr>
        <w:t xml:space="preserve"> </w:t>
      </w:r>
      <w:hyperlink r:id="rId8" w:history="1">
        <w:r w:rsidR="0048326F" w:rsidRPr="006E5A79">
          <w:rPr>
            <w:rStyle w:val="Hperlink"/>
            <w:rFonts w:ascii="Tahoma" w:hAnsi="Tahoma" w:cs="Tahoma"/>
            <w:sz w:val="20"/>
            <w:szCs w:val="20"/>
          </w:rPr>
          <w:t>mihkel.merimaa@rmk.ee</w:t>
        </w:r>
      </w:hyperlink>
      <w:r w:rsidR="0048326F">
        <w:rPr>
          <w:rFonts w:ascii="Tahoma" w:hAnsi="Tahoma" w:cs="Tahoma"/>
          <w:sz w:val="20"/>
          <w:szCs w:val="20"/>
        </w:rPr>
        <w:t xml:space="preserve">. </w:t>
      </w:r>
    </w:p>
    <w:p w14:paraId="54988FB5" w14:textId="2716E104" w:rsidR="006C7CBC"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esindaja(d), kes omavad õigust ja kohustust jälgida </w:t>
      </w:r>
      <w:r w:rsidR="00B637FE">
        <w:rPr>
          <w:rFonts w:ascii="Tahoma" w:hAnsi="Tahoma" w:cs="Tahoma"/>
          <w:sz w:val="20"/>
          <w:szCs w:val="20"/>
        </w:rPr>
        <w:t>Leping</w:t>
      </w:r>
      <w:r w:rsidRPr="00B572AB">
        <w:rPr>
          <w:rFonts w:ascii="Tahoma" w:hAnsi="Tahoma" w:cs="Tahoma"/>
          <w:sz w:val="20"/>
          <w:szCs w:val="20"/>
        </w:rPr>
        <w:t xml:space="preserve">uga Tellija ja Täitja poolt võetud kohuste täitmist, on: </w:t>
      </w:r>
      <w:r w:rsidR="00694604">
        <w:rPr>
          <w:rFonts w:ascii="Tahoma" w:hAnsi="Tahoma" w:cs="Tahoma"/>
          <w:sz w:val="20"/>
          <w:szCs w:val="20"/>
        </w:rPr>
        <w:t>Eero Pikka</w:t>
      </w:r>
      <w:r w:rsidRPr="00B572AB">
        <w:rPr>
          <w:rFonts w:ascii="Tahoma" w:hAnsi="Tahoma" w:cs="Tahoma"/>
          <w:sz w:val="20"/>
          <w:szCs w:val="20"/>
        </w:rPr>
        <w:t xml:space="preserve">, tel </w:t>
      </w:r>
      <w:r w:rsidR="00694604">
        <w:rPr>
          <w:rFonts w:ascii="Tahoma" w:hAnsi="Tahoma" w:cs="Tahoma"/>
          <w:sz w:val="20"/>
          <w:szCs w:val="20"/>
        </w:rPr>
        <w:t>+372 51 44459</w:t>
      </w:r>
      <w:r w:rsidRPr="00B572AB">
        <w:rPr>
          <w:rFonts w:ascii="Tahoma" w:hAnsi="Tahoma" w:cs="Tahoma"/>
          <w:sz w:val="20"/>
          <w:szCs w:val="20"/>
        </w:rPr>
        <w:t>, e-post</w:t>
      </w:r>
      <w:r w:rsidR="00694604">
        <w:rPr>
          <w:rFonts w:ascii="Tahoma" w:hAnsi="Tahoma" w:cs="Tahoma"/>
          <w:sz w:val="20"/>
          <w:szCs w:val="20"/>
        </w:rPr>
        <w:t xml:space="preserve"> </w:t>
      </w:r>
      <w:hyperlink r:id="rId9" w:history="1">
        <w:r w:rsidR="00694604" w:rsidRPr="003B44ED">
          <w:rPr>
            <w:rStyle w:val="Hperlink"/>
            <w:rFonts w:ascii="Tahoma" w:hAnsi="Tahoma" w:cs="Tahoma"/>
            <w:sz w:val="20"/>
            <w:szCs w:val="20"/>
          </w:rPr>
          <w:t>eero.pikka@elke.ee</w:t>
        </w:r>
      </w:hyperlink>
      <w:r w:rsidR="00694604">
        <w:rPr>
          <w:rFonts w:ascii="Tahoma" w:hAnsi="Tahoma" w:cs="Tahoma"/>
          <w:sz w:val="20"/>
          <w:szCs w:val="20"/>
        </w:rPr>
        <w:t xml:space="preserve"> </w:t>
      </w:r>
      <w:r w:rsidRPr="00B572AB">
        <w:rPr>
          <w:rFonts w:ascii="Tahoma" w:hAnsi="Tahoma" w:cs="Tahoma"/>
          <w:sz w:val="20"/>
          <w:szCs w:val="20"/>
        </w:rPr>
        <w:t>.</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uga seotud informatsioonilise iseloomuga teated edastatakse Poolte vahel elektronposti teel, sh pretensioonid. Muud Pooltele õiguslikke tagajärgi kaasatoovad teated vormistatakse kirjalikult. Kontaktisiku e-mailile edastatud teate ja pretensiooni loevad Pooled </w:t>
      </w:r>
      <w:proofErr w:type="spellStart"/>
      <w:r w:rsidR="002C1E79" w:rsidRPr="00B572AB">
        <w:rPr>
          <w:rFonts w:ascii="Tahoma" w:hAnsi="Tahoma" w:cs="Tahoma"/>
          <w:sz w:val="20"/>
          <w:szCs w:val="20"/>
        </w:rPr>
        <w:t>kättesaaduks</w:t>
      </w:r>
      <w:proofErr w:type="spellEnd"/>
      <w:r w:rsidR="002C1E79" w:rsidRPr="00B572AB">
        <w:rPr>
          <w:rFonts w:ascii="Tahoma" w:hAnsi="Tahoma" w:cs="Tahoma"/>
          <w:sz w:val="20"/>
          <w:szCs w:val="20"/>
        </w:rPr>
        <w:t xml:space="preserve">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1C396F4" w14:textId="3A76234B" w:rsidR="002C1E79" w:rsidRPr="00B572AB"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233D2CC3" w14:textId="77777777" w:rsidR="00E80B77" w:rsidRDefault="00E80B77" w:rsidP="002C6B2A">
      <w:pPr>
        <w:pStyle w:val="Loendilik"/>
        <w:spacing w:after="0" w:line="240" w:lineRule="auto"/>
        <w:ind w:left="0"/>
        <w:contextualSpacing w:val="0"/>
        <w:jc w:val="both"/>
        <w:rPr>
          <w:rFonts w:ascii="Tahoma" w:hAnsi="Tahoma" w:cs="Tahoma"/>
          <w:sz w:val="20"/>
          <w:szCs w:val="20"/>
        </w:rPr>
      </w:pPr>
    </w:p>
    <w:p w14:paraId="32D958C9" w14:textId="77777777" w:rsidR="009A7A86" w:rsidRDefault="009A7A86" w:rsidP="002C6B2A">
      <w:pPr>
        <w:pStyle w:val="Loendilik"/>
        <w:spacing w:after="0" w:line="240" w:lineRule="auto"/>
        <w:ind w:left="0"/>
        <w:contextualSpacing w:val="0"/>
        <w:jc w:val="both"/>
        <w:rPr>
          <w:rFonts w:ascii="Tahoma" w:hAnsi="Tahoma" w:cs="Tahoma"/>
          <w:sz w:val="20"/>
          <w:szCs w:val="20"/>
        </w:rPr>
      </w:pPr>
    </w:p>
    <w:p w14:paraId="3CBAE295" w14:textId="77777777" w:rsidR="009A7A86" w:rsidRDefault="009A7A86" w:rsidP="002C6B2A">
      <w:pPr>
        <w:pStyle w:val="Loendilik"/>
        <w:spacing w:after="0" w:line="240" w:lineRule="auto"/>
        <w:ind w:left="0"/>
        <w:contextualSpacing w:val="0"/>
        <w:jc w:val="both"/>
        <w:rPr>
          <w:rFonts w:ascii="Tahoma" w:hAnsi="Tahoma" w:cs="Tahoma"/>
          <w:sz w:val="20"/>
          <w:szCs w:val="20"/>
        </w:rPr>
      </w:pPr>
    </w:p>
    <w:p w14:paraId="73683BD8" w14:textId="77777777" w:rsidR="009A7A86" w:rsidRDefault="009A7A86" w:rsidP="002C6B2A">
      <w:pPr>
        <w:pStyle w:val="Loendilik"/>
        <w:spacing w:after="0" w:line="240" w:lineRule="auto"/>
        <w:ind w:left="0"/>
        <w:contextualSpacing w:val="0"/>
        <w:jc w:val="both"/>
        <w:rPr>
          <w:rFonts w:ascii="Tahoma" w:hAnsi="Tahoma" w:cs="Tahoma"/>
          <w:sz w:val="20"/>
          <w:szCs w:val="20"/>
        </w:rPr>
      </w:pPr>
    </w:p>
    <w:p w14:paraId="4918528B" w14:textId="77777777" w:rsidR="009A7A86" w:rsidRDefault="009A7A86" w:rsidP="002C6B2A">
      <w:pPr>
        <w:pStyle w:val="Loendilik"/>
        <w:spacing w:after="0" w:line="240" w:lineRule="auto"/>
        <w:ind w:left="0"/>
        <w:contextualSpacing w:val="0"/>
        <w:jc w:val="both"/>
        <w:rPr>
          <w:rFonts w:ascii="Tahoma" w:hAnsi="Tahoma" w:cs="Tahoma"/>
          <w:sz w:val="20"/>
          <w:szCs w:val="20"/>
        </w:rPr>
      </w:pPr>
    </w:p>
    <w:p w14:paraId="7C8FFB17" w14:textId="77777777" w:rsidR="009A7A86" w:rsidRDefault="009A7A86" w:rsidP="002C6B2A">
      <w:pPr>
        <w:pStyle w:val="Loendilik"/>
        <w:spacing w:after="0" w:line="240" w:lineRule="auto"/>
        <w:ind w:left="0"/>
        <w:contextualSpacing w:val="0"/>
        <w:jc w:val="both"/>
        <w:rPr>
          <w:rFonts w:ascii="Tahoma" w:hAnsi="Tahoma" w:cs="Tahoma"/>
          <w:sz w:val="20"/>
          <w:szCs w:val="20"/>
        </w:rPr>
      </w:pPr>
    </w:p>
    <w:p w14:paraId="3F967A5E" w14:textId="77777777" w:rsidR="009A7A86" w:rsidRDefault="009A7A86" w:rsidP="002C6B2A">
      <w:pPr>
        <w:pStyle w:val="Loendilik"/>
        <w:spacing w:after="0" w:line="240" w:lineRule="auto"/>
        <w:ind w:left="0"/>
        <w:contextualSpacing w:val="0"/>
        <w:jc w:val="both"/>
        <w:rPr>
          <w:rFonts w:ascii="Tahoma" w:hAnsi="Tahoma" w:cs="Tahoma"/>
          <w:sz w:val="20"/>
          <w:szCs w:val="20"/>
        </w:rPr>
      </w:pPr>
    </w:p>
    <w:p w14:paraId="000928F0" w14:textId="77777777" w:rsidR="009A7A86" w:rsidRPr="00417C80" w:rsidRDefault="009A7A86" w:rsidP="002C6B2A">
      <w:pPr>
        <w:pStyle w:val="Loendilik"/>
        <w:spacing w:after="0" w:line="240" w:lineRule="auto"/>
        <w:ind w:left="0"/>
        <w:contextualSpacing w:val="0"/>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lastRenderedPageBreak/>
        <w:t xml:space="preserve">Poolte rekvisiidid: </w:t>
      </w:r>
    </w:p>
    <w:p w14:paraId="3BDE8A61" w14:textId="7AFD01EB" w:rsidR="00CD2810" w:rsidRDefault="00CD2810" w:rsidP="002C6B2A">
      <w:pPr>
        <w:spacing w:after="0" w:line="240" w:lineRule="auto"/>
        <w:jc w:val="both"/>
        <w:rPr>
          <w:rFonts w:ascii="Tahoma" w:hAnsi="Tahoma" w:cs="Tahoma"/>
          <w:sz w:val="20"/>
          <w:szCs w:val="20"/>
        </w:rPr>
      </w:pPr>
    </w:p>
    <w:p w14:paraId="60DF8BA4" w14:textId="77777777" w:rsidR="009A7A86" w:rsidRPr="00417C80" w:rsidRDefault="009A7A86" w:rsidP="002C6B2A">
      <w:pPr>
        <w:spacing w:after="0" w:line="240" w:lineRule="auto"/>
        <w:jc w:val="both"/>
        <w:rPr>
          <w:rFonts w:ascii="Tahoma" w:hAnsi="Tahoma" w:cs="Tahoma"/>
          <w:sz w:val="20"/>
          <w:szCs w:val="20"/>
        </w:rPr>
      </w:pPr>
    </w:p>
    <w:p w14:paraId="658125FA" w14:textId="77777777"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1FCA72FD"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proofErr w:type="spellStart"/>
      <w:r w:rsidR="00144B9C" w:rsidRPr="00144B9C">
        <w:rPr>
          <w:rFonts w:ascii="Tahoma" w:hAnsi="Tahoma" w:cs="Tahoma"/>
          <w:b/>
          <w:bCs/>
          <w:sz w:val="20"/>
          <w:szCs w:val="20"/>
        </w:rPr>
        <w:t>Elke</w:t>
      </w:r>
      <w:proofErr w:type="spellEnd"/>
      <w:r w:rsidR="00144B9C" w:rsidRPr="00144B9C">
        <w:rPr>
          <w:rFonts w:ascii="Tahoma" w:hAnsi="Tahoma" w:cs="Tahoma"/>
          <w:b/>
          <w:bCs/>
          <w:sz w:val="20"/>
          <w:szCs w:val="20"/>
        </w:rPr>
        <w:t xml:space="preserve"> Tallinn AS</w:t>
      </w:r>
    </w:p>
    <w:p w14:paraId="1D42FCB2" w14:textId="3C56E29E" w:rsidR="003E2985" w:rsidRPr="00EA5BDB" w:rsidRDefault="003E2985" w:rsidP="003E2985">
      <w:pPr>
        <w:spacing w:after="0"/>
        <w:jc w:val="both"/>
        <w:rPr>
          <w:rFonts w:ascii="Tahoma" w:hAnsi="Tahoma" w:cs="Tahoma"/>
          <w:sz w:val="20"/>
          <w:szCs w:val="20"/>
        </w:rPr>
      </w:pPr>
      <w:proofErr w:type="spellStart"/>
      <w:r w:rsidRPr="00EA5BDB">
        <w:rPr>
          <w:rFonts w:ascii="Tahoma" w:hAnsi="Tahoma" w:cs="Tahoma"/>
          <w:sz w:val="20"/>
          <w:szCs w:val="20"/>
        </w:rPr>
        <w:t>Rg</w:t>
      </w:r>
      <w:proofErr w:type="spellEnd"/>
      <w:r w:rsidRPr="00EA5BDB">
        <w:rPr>
          <w:rFonts w:ascii="Tahoma" w:hAnsi="Tahoma" w:cs="Tahoma"/>
          <w:sz w:val="20"/>
          <w:szCs w:val="20"/>
        </w:rPr>
        <w:t>-kood: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sidR="00144B9C">
        <w:rPr>
          <w:rFonts w:ascii="Tahoma" w:hAnsi="Tahoma" w:cs="Tahoma"/>
          <w:sz w:val="20"/>
          <w:szCs w:val="20"/>
        </w:rPr>
        <w:t>Rg</w:t>
      </w:r>
      <w:proofErr w:type="spellEnd"/>
      <w:r w:rsidR="00144B9C">
        <w:rPr>
          <w:rFonts w:ascii="Tahoma" w:hAnsi="Tahoma" w:cs="Tahoma"/>
          <w:sz w:val="20"/>
          <w:szCs w:val="20"/>
        </w:rPr>
        <w:t xml:space="preserve">-kood: </w:t>
      </w:r>
      <w:r w:rsidR="00CD4406" w:rsidRPr="00CD4406">
        <w:rPr>
          <w:rFonts w:ascii="Tahoma" w:hAnsi="Tahoma" w:cs="Tahoma"/>
          <w:sz w:val="20"/>
          <w:szCs w:val="20"/>
        </w:rPr>
        <w:t>10000805</w:t>
      </w:r>
    </w:p>
    <w:p w14:paraId="2DE4E9F8" w14:textId="328AA721" w:rsidR="003E2985" w:rsidRDefault="003E2985" w:rsidP="003E2985">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CD4406">
        <w:rPr>
          <w:rFonts w:ascii="Tahoma" w:hAnsi="Tahoma" w:cs="Tahoma"/>
          <w:sz w:val="20"/>
          <w:szCs w:val="20"/>
        </w:rPr>
        <w:t>Mustamäe tee 22, 10621 Tallinn</w:t>
      </w:r>
    </w:p>
    <w:p w14:paraId="41F09680" w14:textId="77777777"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p>
    <w:p w14:paraId="45CA8A4F" w14:textId="3E975A9A" w:rsidR="003E2985" w:rsidRDefault="003E2985" w:rsidP="00061A25">
      <w:pPr>
        <w:spacing w:after="0"/>
        <w:jc w:val="both"/>
        <w:rPr>
          <w:rFonts w:ascii="Tahoma" w:hAnsi="Tahoma" w:cs="Tahoma"/>
          <w:sz w:val="20"/>
          <w:szCs w:val="20"/>
        </w:rPr>
      </w:pPr>
      <w:r>
        <w:rPr>
          <w:rFonts w:ascii="Tahoma" w:hAnsi="Tahoma" w:cs="Tahoma"/>
          <w:sz w:val="20"/>
          <w:szCs w:val="20"/>
        </w:rPr>
        <w:t xml:space="preserve">Tel: </w:t>
      </w:r>
      <w:r w:rsidR="00F972D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061A25">
        <w:rPr>
          <w:rFonts w:ascii="Tahoma" w:hAnsi="Tahoma" w:cs="Tahoma"/>
          <w:sz w:val="20"/>
          <w:szCs w:val="20"/>
        </w:rPr>
        <w:t xml:space="preserve">Tel: </w:t>
      </w:r>
      <w:r w:rsidR="00061A25" w:rsidRPr="00061A25">
        <w:rPr>
          <w:rFonts w:ascii="Tahoma" w:hAnsi="Tahoma" w:cs="Tahoma"/>
          <w:sz w:val="20"/>
          <w:szCs w:val="20"/>
        </w:rPr>
        <w:t>+372</w:t>
      </w:r>
      <w:r w:rsidR="00F972D7">
        <w:rPr>
          <w:rFonts w:ascii="Tahoma" w:hAnsi="Tahoma" w:cs="Tahoma"/>
          <w:sz w:val="20"/>
          <w:szCs w:val="20"/>
        </w:rPr>
        <w:t> </w:t>
      </w:r>
      <w:r w:rsidR="00061A25" w:rsidRPr="00061A25">
        <w:rPr>
          <w:rFonts w:ascii="Tahoma" w:hAnsi="Tahoma" w:cs="Tahoma"/>
          <w:sz w:val="20"/>
          <w:szCs w:val="20"/>
        </w:rPr>
        <w:t>650</w:t>
      </w:r>
      <w:r w:rsidR="00F972D7">
        <w:rPr>
          <w:rFonts w:ascii="Tahoma" w:hAnsi="Tahoma" w:cs="Tahoma"/>
          <w:sz w:val="20"/>
          <w:szCs w:val="20"/>
        </w:rPr>
        <w:t xml:space="preserve"> </w:t>
      </w:r>
      <w:r w:rsidR="00061A25" w:rsidRPr="00061A25">
        <w:rPr>
          <w:rFonts w:ascii="Tahoma" w:hAnsi="Tahoma" w:cs="Tahoma"/>
          <w:sz w:val="20"/>
          <w:szCs w:val="20"/>
        </w:rPr>
        <w:t>5700</w:t>
      </w:r>
    </w:p>
    <w:p w14:paraId="0628E26D" w14:textId="7FF588C3"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10"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F972D7">
        <w:rPr>
          <w:rFonts w:ascii="Tahoma" w:hAnsi="Tahoma" w:cs="Tahoma"/>
          <w:sz w:val="20"/>
          <w:szCs w:val="20"/>
        </w:rPr>
        <w:t xml:space="preserve">E-post: </w:t>
      </w:r>
      <w:hyperlink r:id="rId11" w:history="1">
        <w:r w:rsidR="00F972D7" w:rsidRPr="006E5A79">
          <w:rPr>
            <w:rStyle w:val="Hperlink"/>
            <w:rFonts w:ascii="Tahoma" w:hAnsi="Tahoma" w:cs="Tahoma"/>
            <w:sz w:val="20"/>
            <w:szCs w:val="20"/>
          </w:rPr>
          <w:t>mustamae@elke.ee</w:t>
        </w:r>
      </w:hyperlink>
      <w:r w:rsidR="00F972D7">
        <w:rPr>
          <w:rFonts w:ascii="Tahoma" w:hAnsi="Tahoma" w:cs="Tahoma"/>
          <w:sz w:val="20"/>
          <w:szCs w:val="20"/>
        </w:rPr>
        <w:t xml:space="preserve"> </w:t>
      </w:r>
      <w:r>
        <w:rPr>
          <w:rFonts w:ascii="Tahoma" w:hAnsi="Tahoma" w:cs="Tahoma"/>
          <w:sz w:val="20"/>
          <w:szCs w:val="20"/>
        </w:rPr>
        <w:tab/>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1B0CA0EA" w:rsidR="003E2985" w:rsidRDefault="00B52705" w:rsidP="003E2985">
      <w:pPr>
        <w:spacing w:after="0"/>
        <w:jc w:val="both"/>
        <w:rPr>
          <w:rFonts w:ascii="Tahoma" w:hAnsi="Tahoma" w:cs="Tahoma"/>
          <w:sz w:val="20"/>
          <w:szCs w:val="20"/>
        </w:rPr>
      </w:pPr>
      <w:r>
        <w:rPr>
          <w:rFonts w:ascii="Tahoma" w:hAnsi="Tahoma" w:cs="Tahoma"/>
          <w:sz w:val="20"/>
          <w:szCs w:val="20"/>
        </w:rPr>
        <w:t>Mikk Marran</w:t>
      </w:r>
      <w:r w:rsidR="00597F3B">
        <w:rPr>
          <w:rFonts w:ascii="Tahoma" w:hAnsi="Tahoma" w:cs="Tahoma"/>
          <w:sz w:val="20"/>
          <w:szCs w:val="20"/>
        </w:rPr>
        <w:tab/>
      </w:r>
      <w:r w:rsidR="00597F3B">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694604">
        <w:rPr>
          <w:rFonts w:ascii="Tahoma" w:hAnsi="Tahoma" w:cs="Tahoma"/>
          <w:sz w:val="20"/>
          <w:szCs w:val="20"/>
        </w:rPr>
        <w:t xml:space="preserve">Raido </w:t>
      </w:r>
      <w:proofErr w:type="spellStart"/>
      <w:r w:rsidR="00694604">
        <w:rPr>
          <w:rFonts w:ascii="Tahoma" w:hAnsi="Tahoma" w:cs="Tahoma"/>
          <w:sz w:val="20"/>
          <w:szCs w:val="20"/>
        </w:rPr>
        <w:t>Rosenfeld</w:t>
      </w:r>
      <w:proofErr w:type="spellEnd"/>
      <w:r w:rsidR="00694604">
        <w:rPr>
          <w:rFonts w:ascii="Tahoma" w:hAnsi="Tahoma" w:cs="Tahoma"/>
          <w:sz w:val="20"/>
          <w:szCs w:val="20"/>
        </w:rPr>
        <w:t xml:space="preserve"> </w:t>
      </w:r>
      <w:r w:rsidR="003E2985">
        <w:rPr>
          <w:rFonts w:ascii="Tahoma" w:hAnsi="Tahoma" w:cs="Tahoma"/>
          <w:sz w:val="20"/>
          <w:szCs w:val="20"/>
        </w:rPr>
        <w:tab/>
      </w:r>
    </w:p>
    <w:p w14:paraId="17D01197" w14:textId="65E9DD14" w:rsidR="003E2985" w:rsidRPr="00B572AB" w:rsidRDefault="00B52705" w:rsidP="003E2985">
      <w:pPr>
        <w:spacing w:after="0"/>
        <w:jc w:val="both"/>
        <w:rPr>
          <w:rFonts w:ascii="Tahoma" w:hAnsi="Tahoma" w:cs="Tahoma"/>
          <w:sz w:val="20"/>
          <w:szCs w:val="20"/>
        </w:rPr>
      </w:pPr>
      <w:r>
        <w:rPr>
          <w:rFonts w:ascii="Tahoma" w:hAnsi="Tahoma" w:cs="Tahoma"/>
          <w:sz w:val="20"/>
          <w:szCs w:val="20"/>
        </w:rPr>
        <w:t>Juhatuse esimees</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694604">
        <w:rPr>
          <w:rFonts w:ascii="Tahoma" w:hAnsi="Tahoma" w:cs="Tahoma"/>
          <w:sz w:val="20"/>
          <w:szCs w:val="20"/>
        </w:rPr>
        <w:t>Juhatuse esimees</w:t>
      </w:r>
      <w:r w:rsidR="003E2985">
        <w:rPr>
          <w:rFonts w:ascii="Tahoma" w:hAnsi="Tahoma" w:cs="Tahoma"/>
          <w:sz w:val="20"/>
          <w:szCs w:val="20"/>
        </w:rPr>
        <w:tab/>
      </w:r>
    </w:p>
    <w:p w14:paraId="35475EC5" w14:textId="63793476" w:rsidR="005675E8"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sectPr w:rsidR="005675E8" w:rsidRPr="00417C80" w:rsidSect="00B064BA">
      <w:headerReference w:type="defaul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2098C" w14:textId="77777777" w:rsidR="00417354" w:rsidRDefault="00417354" w:rsidP="00E80B77">
      <w:pPr>
        <w:spacing w:after="0" w:line="240" w:lineRule="auto"/>
      </w:pPr>
      <w:r>
        <w:separator/>
      </w:r>
    </w:p>
  </w:endnote>
  <w:endnote w:type="continuationSeparator" w:id="0">
    <w:p w14:paraId="3985500F" w14:textId="77777777" w:rsidR="00417354" w:rsidRDefault="00417354"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41A83" w14:textId="77777777" w:rsidR="00417354" w:rsidRDefault="00417354" w:rsidP="00E80B77">
      <w:pPr>
        <w:spacing w:after="0" w:line="240" w:lineRule="auto"/>
      </w:pPr>
      <w:r>
        <w:separator/>
      </w:r>
    </w:p>
  </w:footnote>
  <w:footnote w:type="continuationSeparator" w:id="0">
    <w:p w14:paraId="1225129B" w14:textId="77777777" w:rsidR="00417354" w:rsidRDefault="00417354"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C475C" w14:textId="3330F2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033E7"/>
    <w:rsid w:val="00023E8E"/>
    <w:rsid w:val="000550DB"/>
    <w:rsid w:val="00061A25"/>
    <w:rsid w:val="00075C42"/>
    <w:rsid w:val="000830BC"/>
    <w:rsid w:val="00084CD7"/>
    <w:rsid w:val="00096F39"/>
    <w:rsid w:val="000A33F9"/>
    <w:rsid w:val="000D375F"/>
    <w:rsid w:val="000E3A04"/>
    <w:rsid w:val="000F2CC6"/>
    <w:rsid w:val="00100C03"/>
    <w:rsid w:val="00124217"/>
    <w:rsid w:val="00144B9C"/>
    <w:rsid w:val="002275DC"/>
    <w:rsid w:val="002340E7"/>
    <w:rsid w:val="00234504"/>
    <w:rsid w:val="00261614"/>
    <w:rsid w:val="002955C3"/>
    <w:rsid w:val="002972AE"/>
    <w:rsid w:val="002A1FB0"/>
    <w:rsid w:val="002C1E79"/>
    <w:rsid w:val="002C6B2A"/>
    <w:rsid w:val="002F245B"/>
    <w:rsid w:val="002F2A7D"/>
    <w:rsid w:val="003169D7"/>
    <w:rsid w:val="003238BE"/>
    <w:rsid w:val="00325BDA"/>
    <w:rsid w:val="00332543"/>
    <w:rsid w:val="00336A7F"/>
    <w:rsid w:val="00350101"/>
    <w:rsid w:val="0036566E"/>
    <w:rsid w:val="0037461E"/>
    <w:rsid w:val="00383813"/>
    <w:rsid w:val="00392C00"/>
    <w:rsid w:val="003A5EF8"/>
    <w:rsid w:val="003D125B"/>
    <w:rsid w:val="003E2985"/>
    <w:rsid w:val="003E3E59"/>
    <w:rsid w:val="00410AF4"/>
    <w:rsid w:val="004161AB"/>
    <w:rsid w:val="00417354"/>
    <w:rsid w:val="00417C80"/>
    <w:rsid w:val="004268DA"/>
    <w:rsid w:val="00462D89"/>
    <w:rsid w:val="0048326F"/>
    <w:rsid w:val="004B6566"/>
    <w:rsid w:val="004E7088"/>
    <w:rsid w:val="00557C4E"/>
    <w:rsid w:val="005675E8"/>
    <w:rsid w:val="00597F3B"/>
    <w:rsid w:val="005C5801"/>
    <w:rsid w:val="005D34A6"/>
    <w:rsid w:val="005D5204"/>
    <w:rsid w:val="00623604"/>
    <w:rsid w:val="00643B2E"/>
    <w:rsid w:val="006724FE"/>
    <w:rsid w:val="00676989"/>
    <w:rsid w:val="006854C2"/>
    <w:rsid w:val="00694604"/>
    <w:rsid w:val="006A2BF0"/>
    <w:rsid w:val="006C7CBC"/>
    <w:rsid w:val="006E37DC"/>
    <w:rsid w:val="006F2FF3"/>
    <w:rsid w:val="00700122"/>
    <w:rsid w:val="00724641"/>
    <w:rsid w:val="00763B92"/>
    <w:rsid w:val="00785DF7"/>
    <w:rsid w:val="007A3463"/>
    <w:rsid w:val="007B327F"/>
    <w:rsid w:val="007C1E06"/>
    <w:rsid w:val="007F0B27"/>
    <w:rsid w:val="007F61D3"/>
    <w:rsid w:val="008016A8"/>
    <w:rsid w:val="00801B17"/>
    <w:rsid w:val="008179DD"/>
    <w:rsid w:val="00821820"/>
    <w:rsid w:val="00824753"/>
    <w:rsid w:val="00825463"/>
    <w:rsid w:val="00827093"/>
    <w:rsid w:val="008746A1"/>
    <w:rsid w:val="008D4B18"/>
    <w:rsid w:val="009020AA"/>
    <w:rsid w:val="009274B7"/>
    <w:rsid w:val="00964FC5"/>
    <w:rsid w:val="00987DC1"/>
    <w:rsid w:val="009A5288"/>
    <w:rsid w:val="009A7A86"/>
    <w:rsid w:val="009C4F60"/>
    <w:rsid w:val="009E53F7"/>
    <w:rsid w:val="009F698C"/>
    <w:rsid w:val="00A25C7C"/>
    <w:rsid w:val="00A84E10"/>
    <w:rsid w:val="00AA49C1"/>
    <w:rsid w:val="00AB7418"/>
    <w:rsid w:val="00AC1641"/>
    <w:rsid w:val="00AD05E2"/>
    <w:rsid w:val="00AD47C5"/>
    <w:rsid w:val="00B0152B"/>
    <w:rsid w:val="00B064BA"/>
    <w:rsid w:val="00B1626F"/>
    <w:rsid w:val="00B43D55"/>
    <w:rsid w:val="00B52705"/>
    <w:rsid w:val="00B637FE"/>
    <w:rsid w:val="00BA0964"/>
    <w:rsid w:val="00BA1280"/>
    <w:rsid w:val="00BD21B7"/>
    <w:rsid w:val="00C00654"/>
    <w:rsid w:val="00C03D8B"/>
    <w:rsid w:val="00C127D4"/>
    <w:rsid w:val="00CD2810"/>
    <w:rsid w:val="00CD4406"/>
    <w:rsid w:val="00CF758B"/>
    <w:rsid w:val="00D018CC"/>
    <w:rsid w:val="00D073C0"/>
    <w:rsid w:val="00D5306F"/>
    <w:rsid w:val="00D60F13"/>
    <w:rsid w:val="00D72EDB"/>
    <w:rsid w:val="00D93D4A"/>
    <w:rsid w:val="00DA557C"/>
    <w:rsid w:val="00E00D67"/>
    <w:rsid w:val="00E24593"/>
    <w:rsid w:val="00E34151"/>
    <w:rsid w:val="00E70FEE"/>
    <w:rsid w:val="00E80B77"/>
    <w:rsid w:val="00E853A5"/>
    <w:rsid w:val="00EA752A"/>
    <w:rsid w:val="00EC38AD"/>
    <w:rsid w:val="00EE2A07"/>
    <w:rsid w:val="00EF41BB"/>
    <w:rsid w:val="00F031DA"/>
    <w:rsid w:val="00F1747C"/>
    <w:rsid w:val="00F357AD"/>
    <w:rsid w:val="00F46B8A"/>
    <w:rsid w:val="00F65E03"/>
    <w:rsid w:val="00F95124"/>
    <w:rsid w:val="00F972D7"/>
    <w:rsid w:val="00FC408B"/>
    <w:rsid w:val="00FD3A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unhideWhenUsed/>
    <w:rsid w:val="004E7088"/>
    <w:pPr>
      <w:spacing w:line="240" w:lineRule="auto"/>
    </w:pPr>
    <w:rPr>
      <w:sz w:val="20"/>
      <w:szCs w:val="20"/>
    </w:rPr>
  </w:style>
  <w:style w:type="character" w:customStyle="1" w:styleId="KommentaaritekstMrk">
    <w:name w:val="Kommentaari tekst Märk"/>
    <w:basedOn w:val="Liguvaikefont"/>
    <w:link w:val="Kommentaaritekst"/>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kel.merimaa@rmk.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stamae@elke.ee" TargetMode="External"/><Relationship Id="rId5" Type="http://schemas.openxmlformats.org/officeDocument/2006/relationships/footnotes" Target="footnotes.xml"/><Relationship Id="rId10" Type="http://schemas.openxmlformats.org/officeDocument/2006/relationships/hyperlink" Target="mailto:rmk@rmk.ee" TargetMode="External"/><Relationship Id="rId4" Type="http://schemas.openxmlformats.org/officeDocument/2006/relationships/webSettings" Target="webSettings.xml"/><Relationship Id="rId9" Type="http://schemas.openxmlformats.org/officeDocument/2006/relationships/hyperlink" Target="mailto:eero.pikka@elke.ee" TargetMode="Externa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2114</Words>
  <Characters>12265</Characters>
  <Application>Microsoft Office Word</Application>
  <DocSecurity>0</DocSecurity>
  <Lines>102</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3</cp:revision>
  <dcterms:created xsi:type="dcterms:W3CDTF">2024-09-09T09:48:00Z</dcterms:created>
  <dcterms:modified xsi:type="dcterms:W3CDTF">2024-09-09T10:33:00Z</dcterms:modified>
</cp:coreProperties>
</file>